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A6" w:rsidRPr="008E39A6" w:rsidRDefault="008E39A6" w:rsidP="00CD44B3">
      <w:pPr>
        <w:spacing w:line="360" w:lineRule="auto"/>
        <w:rPr>
          <w:rFonts w:ascii="Georgia" w:hAnsi="Georgia" w:cs="Times New Roman"/>
          <w:b/>
          <w:color w:val="000000"/>
        </w:rPr>
      </w:pPr>
      <w:r w:rsidRPr="008E39A6">
        <w:rPr>
          <w:rFonts w:ascii="Georgia" w:hAnsi="Georgia" w:cs="Times New Roman"/>
          <w:b/>
          <w:color w:val="000000"/>
        </w:rPr>
        <w:t>Hist316 Group Project – Commentary</w:t>
      </w:r>
    </w:p>
    <w:p w:rsidR="008E39A6" w:rsidRDefault="008E39A6" w:rsidP="00CD44B3">
      <w:pPr>
        <w:spacing w:line="360" w:lineRule="auto"/>
        <w:rPr>
          <w:rFonts w:ascii="Georgia" w:hAnsi="Georgia" w:cs="Times New Roman"/>
          <w:color w:val="000000"/>
        </w:rPr>
      </w:pPr>
      <w:bookmarkStart w:id="0" w:name="_GoBack"/>
      <w:bookmarkEnd w:id="0"/>
    </w:p>
    <w:p w:rsidR="007E5638" w:rsidRPr="00CD44B3" w:rsidRDefault="007E5638" w:rsidP="00CD44B3">
      <w:pPr>
        <w:spacing w:line="360" w:lineRule="auto"/>
        <w:rPr>
          <w:rFonts w:ascii="Georgia" w:hAnsi="Georgia" w:cs="Times New Roman"/>
          <w:szCs w:val="20"/>
        </w:rPr>
      </w:pPr>
      <w:r w:rsidRPr="00CD44B3">
        <w:rPr>
          <w:rFonts w:ascii="Georgia" w:hAnsi="Georgia" w:cs="Times New Roman"/>
          <w:color w:val="000000"/>
        </w:rPr>
        <w:t>Our spread</w:t>
      </w:r>
      <w:r w:rsidR="00C61D3E" w:rsidRPr="00CD44B3">
        <w:rPr>
          <w:rFonts w:ascii="Georgia" w:hAnsi="Georgia" w:cs="Times New Roman"/>
          <w:color w:val="000000"/>
        </w:rPr>
        <w:t>sheet presents a section of H. E.</w:t>
      </w:r>
      <w:r w:rsidR="009A639F" w:rsidRPr="00CD44B3">
        <w:rPr>
          <w:rFonts w:ascii="Georgia" w:hAnsi="Georgia" w:cs="Times New Roman"/>
          <w:color w:val="000000"/>
        </w:rPr>
        <w:t xml:space="preserve"> Rice’s list of rebel Kingite Mā</w:t>
      </w:r>
      <w:r w:rsidRPr="00CD44B3">
        <w:rPr>
          <w:rFonts w:ascii="Georgia" w:hAnsi="Georgia" w:cs="Times New Roman"/>
          <w:color w:val="000000"/>
        </w:rPr>
        <w:t xml:space="preserve">ori who surrendered on the 24th of July at Otenuoetae, a little over a month </w:t>
      </w:r>
      <w:r w:rsidR="009A639F" w:rsidRPr="00CD44B3">
        <w:rPr>
          <w:rFonts w:ascii="Georgia" w:hAnsi="Georgia" w:cs="Times New Roman"/>
          <w:color w:val="000000"/>
        </w:rPr>
        <w:t>after their British defeat at</w:t>
      </w:r>
      <w:r w:rsidRPr="00CD44B3">
        <w:rPr>
          <w:rFonts w:ascii="Georgia" w:hAnsi="Georgia" w:cs="Times New Roman"/>
          <w:color w:val="000000"/>
        </w:rPr>
        <w:t xml:space="preserve"> Te Ranga. Rice was an agent of Governor Grey, and his presence was </w:t>
      </w:r>
      <w:r w:rsidR="00D405C4" w:rsidRPr="00CD44B3">
        <w:rPr>
          <w:rFonts w:ascii="Georgia" w:hAnsi="Georgia" w:cs="Times New Roman"/>
          <w:color w:val="000000"/>
        </w:rPr>
        <w:t>instrumental in the surrender of these warriors</w:t>
      </w:r>
      <w:r w:rsidRPr="00CD44B3">
        <w:rPr>
          <w:rFonts w:ascii="Georgia" w:hAnsi="Georgia" w:cs="Times New Roman"/>
          <w:color w:val="000000"/>
        </w:rPr>
        <w:t>.</w:t>
      </w:r>
      <w:r w:rsidR="00D405C4" w:rsidRPr="00CD44B3">
        <w:rPr>
          <w:rStyle w:val="FootnoteReference"/>
          <w:rFonts w:ascii="Georgia" w:hAnsi="Georgia" w:cs="Times New Roman"/>
          <w:color w:val="000000"/>
        </w:rPr>
        <w:footnoteReference w:id="1"/>
      </w:r>
      <w:r w:rsidRPr="00CD44B3">
        <w:rPr>
          <w:rFonts w:ascii="Georgia" w:hAnsi="Georgia" w:cs="Times New Roman"/>
          <w:color w:val="000000"/>
        </w:rPr>
        <w:t xml:space="preserve"> </w:t>
      </w:r>
      <w:r w:rsidR="00D405C4" w:rsidRPr="00CD44B3">
        <w:rPr>
          <w:rFonts w:ascii="Georgia" w:hAnsi="Georgia" w:cs="Times New Roman"/>
          <w:color w:val="000000"/>
        </w:rPr>
        <w:t xml:space="preserve">The spreadsheet presents </w:t>
      </w:r>
      <w:r w:rsidRPr="00CD44B3">
        <w:rPr>
          <w:rFonts w:ascii="Georgia" w:hAnsi="Georgia" w:cs="Times New Roman"/>
          <w:color w:val="000000"/>
        </w:rPr>
        <w:t>information regarding weapons or ammunition</w:t>
      </w:r>
      <w:r w:rsidR="00D405C4" w:rsidRPr="00CD44B3">
        <w:rPr>
          <w:rFonts w:ascii="Georgia" w:hAnsi="Georgia" w:cs="Times New Roman"/>
          <w:color w:val="000000"/>
        </w:rPr>
        <w:t xml:space="preserve"> surrendered by each individual</w:t>
      </w:r>
      <w:r w:rsidRPr="00CD44B3">
        <w:rPr>
          <w:rFonts w:ascii="Georgia" w:hAnsi="Georgia" w:cs="Times New Roman"/>
          <w:color w:val="000000"/>
        </w:rPr>
        <w:t>, their name, hapū</w:t>
      </w:r>
      <w:r w:rsidR="00C61D3E" w:rsidRPr="00CD44B3">
        <w:rPr>
          <w:rFonts w:ascii="Georgia" w:hAnsi="Georgia" w:cs="Times New Roman"/>
          <w:color w:val="000000"/>
        </w:rPr>
        <w:t xml:space="preserve"> or iw</w:t>
      </w:r>
      <w:r w:rsidR="00D405C4" w:rsidRPr="00CD44B3">
        <w:rPr>
          <w:rFonts w:ascii="Georgia" w:hAnsi="Georgia" w:cs="Times New Roman"/>
          <w:color w:val="000000"/>
        </w:rPr>
        <w:t>i and where relevant their fighting capacity, health and</w:t>
      </w:r>
      <w:r w:rsidRPr="00CD44B3">
        <w:rPr>
          <w:rFonts w:ascii="Georgia" w:hAnsi="Georgia" w:cs="Times New Roman"/>
          <w:color w:val="000000"/>
        </w:rPr>
        <w:t xml:space="preserve"> status.</w:t>
      </w:r>
    </w:p>
    <w:p w:rsidR="007E5638" w:rsidRPr="00CD44B3" w:rsidRDefault="007E5638" w:rsidP="00CD44B3">
      <w:pPr>
        <w:spacing w:line="360" w:lineRule="auto"/>
        <w:rPr>
          <w:rFonts w:ascii="Georgia" w:hAnsi="Georgia"/>
          <w:szCs w:val="20"/>
        </w:rPr>
      </w:pPr>
    </w:p>
    <w:p w:rsidR="00CD44B3" w:rsidRPr="00CD44B3" w:rsidRDefault="007E5638" w:rsidP="00CD44B3">
      <w:pPr>
        <w:spacing w:line="360" w:lineRule="auto"/>
        <w:rPr>
          <w:rFonts w:ascii="Georgia" w:hAnsi="Georgia"/>
          <w:szCs w:val="20"/>
        </w:rPr>
      </w:pPr>
      <w:r w:rsidRPr="00CD44B3">
        <w:rPr>
          <w:rFonts w:ascii="Georgia" w:hAnsi="Georgia" w:cs="Times New Roman"/>
          <w:color w:val="000000"/>
        </w:rPr>
        <w:t xml:space="preserve">It was essential to the utility of this spreadsheet that it enabled information to be </w:t>
      </w:r>
      <w:r w:rsidR="00D405C4" w:rsidRPr="00CD44B3">
        <w:rPr>
          <w:rFonts w:ascii="Georgia" w:hAnsi="Georgia" w:cs="Times New Roman"/>
          <w:color w:val="000000"/>
        </w:rPr>
        <w:t>easily accessible for</w:t>
      </w:r>
      <w:r w:rsidRPr="00CD44B3">
        <w:rPr>
          <w:rFonts w:ascii="Georgia" w:hAnsi="Georgia" w:cs="Times New Roman"/>
          <w:color w:val="000000"/>
        </w:rPr>
        <w:t xml:space="preserve"> researchers i</w:t>
      </w:r>
      <w:r w:rsidR="005D5A80" w:rsidRPr="00CD44B3">
        <w:rPr>
          <w:rFonts w:ascii="Georgia" w:hAnsi="Georgia" w:cs="Times New Roman"/>
          <w:color w:val="000000"/>
        </w:rPr>
        <w:t>nvestigating specific</w:t>
      </w:r>
      <w:r w:rsidRPr="00CD44B3">
        <w:rPr>
          <w:rFonts w:ascii="Georgia" w:hAnsi="Georgia" w:cs="Times New Roman"/>
          <w:color w:val="000000"/>
        </w:rPr>
        <w:t xml:space="preserve"> iwi or hapū.</w:t>
      </w:r>
      <w:r w:rsidR="00D405C4" w:rsidRPr="00CD44B3">
        <w:rPr>
          <w:rFonts w:ascii="Georgia" w:hAnsi="Georgia" w:cs="Times New Roman"/>
          <w:color w:val="000000"/>
        </w:rPr>
        <w:t xml:space="preserve"> </w:t>
      </w:r>
      <w:r w:rsidR="005D5A80" w:rsidRPr="00CD44B3">
        <w:rPr>
          <w:rFonts w:ascii="Georgia" w:hAnsi="Georgia" w:cs="Times New Roman"/>
          <w:color w:val="000000"/>
        </w:rPr>
        <w:t>With the evolution of written Māori over the last 150 years, the accepted spelling and punctuation of many Māori words has changed, however, the use of macrons and spacing has becoming standardized since the introduction of the Māori Language Commission and Māori Language Act 1987.</w:t>
      </w:r>
      <w:r w:rsidR="009A7025" w:rsidRPr="00CD44B3">
        <w:rPr>
          <w:rStyle w:val="FootnoteReference"/>
          <w:rFonts w:ascii="Georgia" w:hAnsi="Georgia" w:cs="Times New Roman"/>
          <w:color w:val="000000"/>
        </w:rPr>
        <w:footnoteReference w:id="2"/>
      </w:r>
      <w:r w:rsidR="009A7025" w:rsidRPr="00CD44B3">
        <w:rPr>
          <w:rFonts w:ascii="Georgia" w:hAnsi="Georgia" w:cs="Times New Roman"/>
          <w:color w:val="000000"/>
        </w:rPr>
        <w:t xml:space="preserve"> An example can be seen with hapū ‘Ngaituwhiwhi’, the spelling of which is now officially accepted as </w:t>
      </w:r>
      <w:r w:rsidR="008622D3" w:rsidRPr="00CD44B3">
        <w:rPr>
          <w:rFonts w:ascii="Georgia" w:hAnsi="Georgia" w:cs="Times New Roman"/>
          <w:color w:val="000000"/>
        </w:rPr>
        <w:t>‘</w:t>
      </w:r>
      <w:r w:rsidR="009A7025" w:rsidRPr="00CD44B3">
        <w:rPr>
          <w:rFonts w:ascii="Georgia" w:hAnsi="Georgia" w:cs="Times New Roman"/>
          <w:color w:val="000000"/>
        </w:rPr>
        <w:t>Ngāi Tū Whiwhia</w:t>
      </w:r>
      <w:r w:rsidR="008622D3" w:rsidRPr="00CD44B3">
        <w:rPr>
          <w:rFonts w:ascii="Georgia" w:hAnsi="Georgia" w:cs="Times New Roman"/>
          <w:color w:val="000000"/>
        </w:rPr>
        <w:t>’</w:t>
      </w:r>
      <w:r w:rsidR="009A7025" w:rsidRPr="00CD44B3">
        <w:rPr>
          <w:rFonts w:ascii="Georgia" w:hAnsi="Georgia" w:cs="Times New Roman"/>
          <w:color w:val="000000"/>
        </w:rPr>
        <w:t>.</w:t>
      </w:r>
      <w:r w:rsidR="009A7025" w:rsidRPr="00CD44B3">
        <w:rPr>
          <w:rStyle w:val="FootnoteReference"/>
          <w:rFonts w:ascii="Georgia" w:hAnsi="Georgia" w:cs="Times New Roman"/>
          <w:color w:val="000000"/>
        </w:rPr>
        <w:footnoteReference w:id="3"/>
      </w:r>
      <w:r w:rsidR="009A7025" w:rsidRPr="00CD44B3">
        <w:rPr>
          <w:rFonts w:ascii="Georgia" w:hAnsi="Georgia" w:cs="Times New Roman"/>
          <w:color w:val="000000"/>
        </w:rPr>
        <w:t xml:space="preserve"> </w:t>
      </w:r>
      <w:r w:rsidR="008622D3" w:rsidRPr="00CD44B3">
        <w:rPr>
          <w:rFonts w:ascii="Georgia" w:hAnsi="Georgia" w:cs="Times New Roman"/>
          <w:color w:val="000000"/>
        </w:rPr>
        <w:t xml:space="preserve">Acknowledging that researchers may be retrieving data through contemporary Māori spelling, as well as modern, we </w:t>
      </w:r>
      <w:r w:rsidR="009A7025" w:rsidRPr="00CD44B3">
        <w:rPr>
          <w:rFonts w:ascii="Georgia" w:hAnsi="Georgia" w:cs="Times New Roman"/>
          <w:color w:val="000000"/>
        </w:rPr>
        <w:t xml:space="preserve">have provided both the </w:t>
      </w:r>
      <w:r w:rsidR="008622D3" w:rsidRPr="00CD44B3">
        <w:rPr>
          <w:rFonts w:ascii="Georgia" w:hAnsi="Georgia" w:cs="Times New Roman"/>
          <w:color w:val="000000"/>
        </w:rPr>
        <w:t xml:space="preserve">original Māori spelling, and where possible, the accepted modern spelling alongside in brackets, for optimum retrieval. </w:t>
      </w:r>
      <w:r w:rsidR="0014030A" w:rsidRPr="00CD44B3">
        <w:rPr>
          <w:rFonts w:ascii="Georgia" w:hAnsi="Georgia" w:cs="Times New Roman"/>
          <w:color w:val="000000"/>
        </w:rPr>
        <w:t>Over the last 150 years some hapū and iwi have faded into obscurity, in these cases it became difficult to verify an accepted modern spelling, so only the contemporary spelling has been used, as with ‘</w:t>
      </w:r>
      <w:r w:rsidR="0014030A" w:rsidRPr="00CD44B3">
        <w:rPr>
          <w:rFonts w:ascii="Georgia" w:hAnsi="Georgia"/>
          <w:color w:val="000000"/>
          <w:szCs w:val="21"/>
          <w:shd w:val="clear" w:color="auto" w:fill="FFFFFF"/>
        </w:rPr>
        <w:t>Ngatekahi’.</w:t>
      </w:r>
    </w:p>
    <w:p w:rsidR="007E5638" w:rsidRPr="00CD44B3" w:rsidRDefault="007E5638" w:rsidP="00CD44B3">
      <w:pPr>
        <w:spacing w:line="360" w:lineRule="auto"/>
        <w:rPr>
          <w:rFonts w:ascii="Georgia" w:hAnsi="Georgia"/>
          <w:szCs w:val="20"/>
        </w:rPr>
      </w:pPr>
    </w:p>
    <w:p w:rsidR="00961298" w:rsidRPr="00CD44B3" w:rsidRDefault="008622D3" w:rsidP="00CD44B3">
      <w:pPr>
        <w:spacing w:line="360" w:lineRule="auto"/>
        <w:rPr>
          <w:rFonts w:ascii="Georgia" w:hAnsi="Georgia" w:cs="Times New Roman"/>
          <w:color w:val="000000"/>
        </w:rPr>
      </w:pPr>
      <w:r w:rsidRPr="00CD44B3">
        <w:rPr>
          <w:rFonts w:ascii="Georgia" w:hAnsi="Georgia" w:cs="Times New Roman"/>
          <w:color w:val="000000"/>
        </w:rPr>
        <w:t xml:space="preserve">The detail presented on Rice’s </w:t>
      </w:r>
      <w:r w:rsidR="00961298" w:rsidRPr="00CD44B3">
        <w:rPr>
          <w:rFonts w:ascii="Georgia" w:hAnsi="Georgia" w:cs="Times New Roman"/>
          <w:color w:val="000000"/>
        </w:rPr>
        <w:t>chart are</w:t>
      </w:r>
      <w:r w:rsidR="007E5638" w:rsidRPr="00CD44B3">
        <w:rPr>
          <w:rFonts w:ascii="Georgia" w:hAnsi="Georgia" w:cs="Times New Roman"/>
          <w:color w:val="000000"/>
        </w:rPr>
        <w:t xml:space="preserve"> often incomplete, either</w:t>
      </w:r>
      <w:r w:rsidR="00961298" w:rsidRPr="00CD44B3">
        <w:rPr>
          <w:rFonts w:ascii="Georgia" w:hAnsi="Georgia" w:cs="Times New Roman"/>
          <w:color w:val="000000"/>
        </w:rPr>
        <w:t xml:space="preserve"> due to being</w:t>
      </w:r>
      <w:r w:rsidR="007E5638" w:rsidRPr="00CD44B3">
        <w:rPr>
          <w:rFonts w:ascii="Georgia" w:hAnsi="Georgia" w:cs="Times New Roman"/>
          <w:color w:val="000000"/>
        </w:rPr>
        <w:t xml:space="preserve"> written in a hurry, political considerations </w:t>
      </w:r>
      <w:r w:rsidRPr="00CD44B3">
        <w:rPr>
          <w:rFonts w:ascii="Georgia" w:hAnsi="Georgia" w:cs="Times New Roman"/>
          <w:color w:val="000000"/>
        </w:rPr>
        <w:t>of Mā</w:t>
      </w:r>
      <w:r w:rsidR="007E5638" w:rsidRPr="00CD44B3">
        <w:rPr>
          <w:rFonts w:ascii="Georgia" w:hAnsi="Georgia" w:cs="Times New Roman"/>
          <w:color w:val="000000"/>
        </w:rPr>
        <w:t>ori, or</w:t>
      </w:r>
      <w:r w:rsidRPr="00CD44B3">
        <w:rPr>
          <w:rFonts w:ascii="Georgia" w:hAnsi="Georgia" w:cs="Times New Roman"/>
          <w:color w:val="000000"/>
        </w:rPr>
        <w:t>,</w:t>
      </w:r>
      <w:r w:rsidR="00961298" w:rsidRPr="00CD44B3">
        <w:rPr>
          <w:rFonts w:ascii="Georgia" w:hAnsi="Georgia" w:cs="Times New Roman"/>
          <w:color w:val="000000"/>
        </w:rPr>
        <w:t xml:space="preserve"> a lack of accuracy</w:t>
      </w:r>
      <w:r w:rsidR="007E5638" w:rsidRPr="00CD44B3">
        <w:rPr>
          <w:rFonts w:ascii="Georgia" w:hAnsi="Georgia" w:cs="Times New Roman"/>
          <w:color w:val="000000"/>
        </w:rPr>
        <w:t xml:space="preserve"> on the part of surveyors. An example is Hori Ngatai, who is listed as h</w:t>
      </w:r>
      <w:r w:rsidR="00961298" w:rsidRPr="00CD44B3">
        <w:rPr>
          <w:rFonts w:ascii="Georgia" w:hAnsi="Georgia" w:cs="Times New Roman"/>
          <w:color w:val="000000"/>
        </w:rPr>
        <w:t xml:space="preserve">ailing from </w:t>
      </w:r>
      <w:r w:rsidR="00961298" w:rsidRPr="00CD44B3">
        <w:rPr>
          <w:rFonts w:ascii="Georgia" w:hAnsi="Georgia" w:cs="Times New Roman"/>
          <w:color w:val="000000"/>
        </w:rPr>
        <w:lastRenderedPageBreak/>
        <w:t>‘Ngaiterangi’ (</w:t>
      </w:r>
      <w:r w:rsidRPr="00CD44B3">
        <w:rPr>
          <w:rFonts w:ascii="Georgia" w:hAnsi="Georgia" w:cs="Times New Roman"/>
          <w:color w:val="000000"/>
        </w:rPr>
        <w:t>Ngāi</w:t>
      </w:r>
      <w:r w:rsidR="00961298" w:rsidRPr="00CD44B3">
        <w:rPr>
          <w:rFonts w:ascii="Georgia" w:hAnsi="Georgia" w:cs="Times New Roman"/>
          <w:color w:val="000000"/>
        </w:rPr>
        <w:t xml:space="preserve"> Te Rangi), although this is correct it omits his origins with Ngāti Hē</w:t>
      </w:r>
      <w:r w:rsidR="007E5638" w:rsidRPr="00CD44B3">
        <w:rPr>
          <w:rFonts w:ascii="Georgia" w:hAnsi="Georgia" w:cs="Times New Roman"/>
          <w:color w:val="000000"/>
        </w:rPr>
        <w:t>.</w:t>
      </w:r>
      <w:r w:rsidR="00961298" w:rsidRPr="00CD44B3">
        <w:rPr>
          <w:rFonts w:ascii="Georgia" w:hAnsi="Georgia" w:cs="Times New Roman"/>
          <w:color w:val="000000"/>
        </w:rPr>
        <w:t xml:space="preserve"> Meanwhile, a number of Māori specifically come from the ‘Te Papanu Ahi’ hapū</w:t>
      </w:r>
      <w:r w:rsidR="007E5638" w:rsidRPr="00CD44B3">
        <w:rPr>
          <w:rFonts w:ascii="Georgia" w:hAnsi="Georgia" w:cs="Times New Roman"/>
          <w:color w:val="000000"/>
        </w:rPr>
        <w:t xml:space="preserve">. </w:t>
      </w:r>
    </w:p>
    <w:p w:rsidR="0014030A" w:rsidRPr="00CD44B3" w:rsidRDefault="007E5638" w:rsidP="00CD44B3">
      <w:pPr>
        <w:spacing w:line="360" w:lineRule="auto"/>
        <w:rPr>
          <w:rFonts w:ascii="Georgia" w:hAnsi="Georgia"/>
          <w:color w:val="000000"/>
        </w:rPr>
      </w:pPr>
      <w:r w:rsidRPr="00CD44B3">
        <w:rPr>
          <w:rFonts w:ascii="Georgia" w:hAnsi="Georgia"/>
          <w:szCs w:val="20"/>
        </w:rPr>
        <w:br/>
      </w:r>
      <w:r w:rsidRPr="00CD44B3">
        <w:rPr>
          <w:rFonts w:ascii="Georgia" w:hAnsi="Georgia"/>
          <w:color w:val="000000"/>
        </w:rPr>
        <w:t>In constructing this database we decided to leave the categories as broad as possible, allowing researchers to address issues central to the conflict. The categories of those who were apparently unable to fight may ha</w:t>
      </w:r>
      <w:r w:rsidR="0014030A" w:rsidRPr="00CD44B3">
        <w:rPr>
          <w:rFonts w:ascii="Georgia" w:hAnsi="Georgia"/>
          <w:color w:val="000000"/>
        </w:rPr>
        <w:t>ve been condensed into one - a ‘</w:t>
      </w:r>
      <w:r w:rsidRPr="00CD44B3">
        <w:rPr>
          <w:rFonts w:ascii="Georgia" w:hAnsi="Georgia"/>
          <w:color w:val="000000"/>
        </w:rPr>
        <w:t>non-combatan</w:t>
      </w:r>
      <w:r w:rsidR="0014030A" w:rsidRPr="00CD44B3">
        <w:rPr>
          <w:rFonts w:ascii="Georgia" w:hAnsi="Georgia"/>
          <w:color w:val="000000"/>
        </w:rPr>
        <w:t>t’ or ‘unfit’</w:t>
      </w:r>
      <w:r w:rsidRPr="00CD44B3">
        <w:rPr>
          <w:rFonts w:ascii="Georgia" w:hAnsi="Georgia"/>
          <w:color w:val="000000"/>
        </w:rPr>
        <w:t xml:space="preserve"> column - but considering the surrender’s placing a month after Te Ranga, those who were sick or crippled could well have been involved in the fighting. </w:t>
      </w:r>
    </w:p>
    <w:p w:rsidR="0014030A" w:rsidRPr="00CD44B3" w:rsidRDefault="0014030A" w:rsidP="00CD44B3">
      <w:pPr>
        <w:spacing w:line="360" w:lineRule="auto"/>
        <w:rPr>
          <w:rFonts w:ascii="Georgia" w:hAnsi="Georgia"/>
          <w:color w:val="000000"/>
        </w:rPr>
      </w:pPr>
    </w:p>
    <w:p w:rsidR="00CD44B3" w:rsidRPr="008E39A6" w:rsidRDefault="007E5638" w:rsidP="00CD44B3">
      <w:pPr>
        <w:spacing w:line="360" w:lineRule="auto"/>
        <w:rPr>
          <w:rFonts w:ascii="Georgia" w:hAnsi="Georgia"/>
        </w:rPr>
      </w:pPr>
      <w:r w:rsidRPr="00CD44B3">
        <w:rPr>
          <w:rFonts w:ascii="Georgia" w:hAnsi="Georgia"/>
          <w:color w:val="000000"/>
        </w:rPr>
        <w:t xml:space="preserve">The </w:t>
      </w:r>
      <w:r w:rsidR="0014030A" w:rsidRPr="00CD44B3">
        <w:rPr>
          <w:rFonts w:ascii="Georgia" w:hAnsi="Georgia"/>
          <w:color w:val="000000"/>
        </w:rPr>
        <w:t>most significant question with Rice’s list</w:t>
      </w:r>
      <w:r w:rsidRPr="00CD44B3">
        <w:rPr>
          <w:rFonts w:ascii="Georgia" w:hAnsi="Georgia"/>
          <w:color w:val="000000"/>
        </w:rPr>
        <w:t xml:space="preserve"> regard</w:t>
      </w:r>
      <w:r w:rsidR="0014030A" w:rsidRPr="00CD44B3">
        <w:rPr>
          <w:rFonts w:ascii="Georgia" w:hAnsi="Georgia"/>
          <w:color w:val="000000"/>
        </w:rPr>
        <w:t xml:space="preserve">s the surrendered weapons and ammunition. Many Māori are listed without guns, but with </w:t>
      </w:r>
      <w:r w:rsidR="00CD44B3" w:rsidRPr="00CD44B3">
        <w:rPr>
          <w:rFonts w:ascii="Georgia" w:hAnsi="Georgia"/>
          <w:color w:val="000000"/>
        </w:rPr>
        <w:t xml:space="preserve">ammunition. Other Māori </w:t>
      </w:r>
      <w:r w:rsidR="0014030A" w:rsidRPr="00CD44B3">
        <w:rPr>
          <w:rFonts w:ascii="Georgia" w:hAnsi="Georgia"/>
          <w:color w:val="000000"/>
        </w:rPr>
        <w:t>surrendered</w:t>
      </w:r>
      <w:r w:rsidRPr="00CD44B3">
        <w:rPr>
          <w:rFonts w:ascii="Georgia" w:hAnsi="Georgia"/>
          <w:color w:val="000000"/>
        </w:rPr>
        <w:t xml:space="preserve"> melee or </w:t>
      </w:r>
      <w:r w:rsidR="0014030A" w:rsidRPr="00CD44B3">
        <w:rPr>
          <w:rFonts w:ascii="Georgia" w:hAnsi="Georgia"/>
          <w:color w:val="000000"/>
        </w:rPr>
        <w:t xml:space="preserve">potential </w:t>
      </w:r>
      <w:r w:rsidRPr="00CD44B3">
        <w:rPr>
          <w:rFonts w:ascii="Georgia" w:hAnsi="Georgia"/>
          <w:color w:val="000000"/>
        </w:rPr>
        <w:t xml:space="preserve">ceremonial </w:t>
      </w:r>
      <w:r w:rsidR="0014030A" w:rsidRPr="00CD44B3">
        <w:rPr>
          <w:rFonts w:ascii="Georgia" w:hAnsi="Georgia"/>
          <w:color w:val="000000"/>
        </w:rPr>
        <w:t xml:space="preserve">weapons such as the </w:t>
      </w:r>
      <w:r w:rsidRPr="00CD44B3">
        <w:rPr>
          <w:rFonts w:ascii="Georgia" w:hAnsi="Georgia"/>
          <w:color w:val="000000"/>
        </w:rPr>
        <w:t xml:space="preserve">spear, </w:t>
      </w:r>
      <w:r w:rsidR="00CD44B3" w:rsidRPr="00CD44B3">
        <w:rPr>
          <w:rFonts w:ascii="Georgia" w:hAnsi="Georgia"/>
          <w:color w:val="000000"/>
        </w:rPr>
        <w:t xml:space="preserve">taiaha </w:t>
      </w:r>
      <w:r w:rsidRPr="00CD44B3">
        <w:rPr>
          <w:rFonts w:ascii="Georgia" w:hAnsi="Georgia"/>
          <w:color w:val="000000"/>
        </w:rPr>
        <w:t xml:space="preserve">and in one instance a </w:t>
      </w:r>
      <w:r w:rsidR="0014030A" w:rsidRPr="00CD44B3">
        <w:rPr>
          <w:rFonts w:ascii="Georgia" w:hAnsi="Georgia"/>
          <w:color w:val="000000"/>
        </w:rPr>
        <w:t>‘</w:t>
      </w:r>
      <w:r w:rsidRPr="00CD44B3">
        <w:rPr>
          <w:rFonts w:ascii="Georgia" w:hAnsi="Georgia"/>
          <w:color w:val="000000"/>
        </w:rPr>
        <w:t>patu paora</w:t>
      </w:r>
      <w:r w:rsidR="0014030A" w:rsidRPr="00CD44B3">
        <w:rPr>
          <w:rFonts w:ascii="Georgia" w:hAnsi="Georgia"/>
          <w:color w:val="000000"/>
        </w:rPr>
        <w:t>’</w:t>
      </w:r>
      <w:r w:rsidRPr="00CD44B3">
        <w:rPr>
          <w:rFonts w:ascii="Georgia" w:hAnsi="Georgia"/>
          <w:color w:val="000000"/>
        </w:rPr>
        <w:t xml:space="preserve"> </w:t>
      </w:r>
      <w:r w:rsidR="0014030A" w:rsidRPr="00CD44B3">
        <w:rPr>
          <w:rFonts w:ascii="Georgia" w:hAnsi="Georgia"/>
          <w:color w:val="000000"/>
        </w:rPr>
        <w:t xml:space="preserve">(patu parāoa) </w:t>
      </w:r>
      <w:r w:rsidRPr="00CD44B3">
        <w:rPr>
          <w:rFonts w:ascii="Georgia" w:hAnsi="Georgia"/>
          <w:color w:val="000000"/>
        </w:rPr>
        <w:t xml:space="preserve">- an item which appears unusual both in its utility for the British and the value it might </w:t>
      </w:r>
      <w:r w:rsidR="0014030A" w:rsidRPr="00CD44B3">
        <w:rPr>
          <w:rFonts w:ascii="Georgia" w:hAnsi="Georgia"/>
          <w:color w:val="000000"/>
        </w:rPr>
        <w:t xml:space="preserve">have held for Rawiri Pono of </w:t>
      </w:r>
      <w:r w:rsidR="00CD44B3" w:rsidRPr="00CD44B3">
        <w:rPr>
          <w:rFonts w:ascii="Georgia" w:hAnsi="Georgia"/>
          <w:color w:val="000000"/>
        </w:rPr>
        <w:t>‘</w:t>
      </w:r>
      <w:r w:rsidR="0014030A" w:rsidRPr="00CD44B3">
        <w:rPr>
          <w:rFonts w:ascii="Georgia" w:hAnsi="Georgia"/>
          <w:color w:val="000000"/>
        </w:rPr>
        <w:t>Nga</w:t>
      </w:r>
      <w:r w:rsidR="00CD44B3" w:rsidRPr="00CD44B3">
        <w:rPr>
          <w:rFonts w:ascii="Georgia" w:hAnsi="Georgia"/>
          <w:color w:val="000000"/>
        </w:rPr>
        <w:t>iter</w:t>
      </w:r>
      <w:r w:rsidRPr="00CD44B3">
        <w:rPr>
          <w:rFonts w:ascii="Georgia" w:hAnsi="Georgia"/>
          <w:color w:val="000000"/>
        </w:rPr>
        <w:t>angi</w:t>
      </w:r>
      <w:r w:rsidR="00CD44B3" w:rsidRPr="00CD44B3">
        <w:rPr>
          <w:rFonts w:ascii="Georgia" w:hAnsi="Georgia"/>
          <w:color w:val="000000"/>
        </w:rPr>
        <w:t>’ (Ngāi Te Rangi). James Belich proposes</w:t>
      </w:r>
      <w:r w:rsidRPr="00CD44B3">
        <w:rPr>
          <w:rFonts w:ascii="Georgia" w:hAnsi="Georgia"/>
          <w:color w:val="000000"/>
        </w:rPr>
        <w:t xml:space="preserve"> that the surrender was a ceremonial one, and that many more weapons were hidden; he believed that after the campaigns of the Waikato war and the victory at Gate Pa</w:t>
      </w:r>
      <w:r w:rsidR="00CD44B3" w:rsidRPr="00CD44B3">
        <w:rPr>
          <w:rFonts w:ascii="Georgia" w:hAnsi="Georgia"/>
          <w:color w:val="000000"/>
        </w:rPr>
        <w:t>,</w:t>
      </w:r>
      <w:r w:rsidRPr="00CD44B3">
        <w:rPr>
          <w:rFonts w:ascii="Georgia" w:hAnsi="Georgia"/>
          <w:color w:val="000000"/>
        </w:rPr>
        <w:t xml:space="preserve"> loca</w:t>
      </w:r>
      <w:r w:rsidR="00CD44B3" w:rsidRPr="00CD44B3">
        <w:rPr>
          <w:rFonts w:ascii="Georgia" w:hAnsi="Georgia"/>
          <w:color w:val="000000"/>
        </w:rPr>
        <w:t>l Maori would have possessed</w:t>
      </w:r>
      <w:r w:rsidRPr="00CD44B3">
        <w:rPr>
          <w:rFonts w:ascii="Georgia" w:hAnsi="Georgia"/>
          <w:color w:val="000000"/>
        </w:rPr>
        <w:t xml:space="preserve"> far larger number</w:t>
      </w:r>
      <w:r w:rsidR="00CD44B3" w:rsidRPr="00CD44B3">
        <w:rPr>
          <w:rFonts w:ascii="Georgia" w:hAnsi="Georgia"/>
          <w:color w:val="000000"/>
        </w:rPr>
        <w:t>s of weapons than were surrendered</w:t>
      </w:r>
      <w:r w:rsidRPr="00CD44B3">
        <w:rPr>
          <w:rFonts w:ascii="Georgia" w:hAnsi="Georgia"/>
          <w:color w:val="000000"/>
        </w:rPr>
        <w:t>.</w:t>
      </w:r>
      <w:r w:rsidR="00CD44B3" w:rsidRPr="00CD44B3">
        <w:rPr>
          <w:rFonts w:ascii="Georgia" w:hAnsi="Georgia"/>
          <w:color w:val="000000"/>
        </w:rPr>
        <w:t xml:space="preserve"> From Belich’s reports we would also expect to find a much larger proportion of melee weapons due to his claims of a predominance of hand-to-hand combat.</w:t>
      </w:r>
      <w:r w:rsidR="00CD44B3" w:rsidRPr="00CD44B3">
        <w:rPr>
          <w:rStyle w:val="FootnoteReference"/>
          <w:rFonts w:ascii="Georgia" w:hAnsi="Georgia"/>
          <w:color w:val="000000"/>
        </w:rPr>
        <w:footnoteReference w:id="4"/>
      </w:r>
      <w:r w:rsidR="00CD44B3" w:rsidRPr="00CD44B3">
        <w:rPr>
          <w:rFonts w:ascii="Georgia" w:hAnsi="Georgia"/>
          <w:color w:val="000000"/>
        </w:rPr>
        <w:t xml:space="preserve"> </w:t>
      </w:r>
    </w:p>
    <w:p w:rsidR="00CD44B3" w:rsidRPr="00CD44B3" w:rsidRDefault="00CD44B3" w:rsidP="00CD44B3">
      <w:pPr>
        <w:spacing w:line="360" w:lineRule="auto"/>
        <w:rPr>
          <w:rFonts w:ascii="Georgia" w:hAnsi="Georgia"/>
          <w:color w:val="000000"/>
        </w:rPr>
      </w:pPr>
    </w:p>
    <w:p w:rsidR="008E39A6" w:rsidRDefault="007E5638" w:rsidP="00CD44B3">
      <w:pPr>
        <w:spacing w:line="360" w:lineRule="auto"/>
        <w:rPr>
          <w:rFonts w:ascii="Georgia" w:hAnsi="Georgia"/>
          <w:color w:val="000000"/>
        </w:rPr>
      </w:pPr>
      <w:r w:rsidRPr="00CD44B3">
        <w:rPr>
          <w:rFonts w:ascii="Georgia" w:hAnsi="Georgia"/>
          <w:color w:val="000000"/>
        </w:rPr>
        <w:t xml:space="preserve"> Hori Ngatai declared upon his surrender at Te Papa that all his guns lay before him, and he was unable to fight; this was to reflect his dedication to peace.</w:t>
      </w:r>
      <w:r w:rsidR="00CD44B3" w:rsidRPr="00CD44B3">
        <w:rPr>
          <w:rStyle w:val="FootnoteReference"/>
          <w:rFonts w:ascii="Georgia" w:hAnsi="Georgia"/>
          <w:color w:val="000000"/>
        </w:rPr>
        <w:footnoteReference w:id="5"/>
      </w:r>
      <w:r w:rsidRPr="00CD44B3">
        <w:rPr>
          <w:rFonts w:ascii="Georgia" w:hAnsi="Georgia"/>
          <w:color w:val="000000"/>
        </w:rPr>
        <w:t xml:space="preserve"> The true nature of this surrender, and the reality of the manpower and weapo</w:t>
      </w:r>
      <w:r w:rsidR="00C61D3E" w:rsidRPr="00CD44B3">
        <w:rPr>
          <w:rFonts w:ascii="Georgia" w:hAnsi="Georgia"/>
          <w:color w:val="000000"/>
        </w:rPr>
        <w:t>nry possessed</w:t>
      </w:r>
      <w:r w:rsidR="00CD44B3" w:rsidRPr="00CD44B3">
        <w:rPr>
          <w:rFonts w:ascii="Georgia" w:hAnsi="Georgia"/>
          <w:color w:val="000000"/>
        </w:rPr>
        <w:t xml:space="preserve"> versus surrendered</w:t>
      </w:r>
      <w:r w:rsidR="00C61D3E" w:rsidRPr="00CD44B3">
        <w:rPr>
          <w:rFonts w:ascii="Georgia" w:hAnsi="Georgia"/>
          <w:color w:val="000000"/>
        </w:rPr>
        <w:t xml:space="preserve"> by Tauranga Moana iwi </w:t>
      </w:r>
      <w:r w:rsidRPr="00CD44B3">
        <w:rPr>
          <w:rFonts w:ascii="Georgia" w:hAnsi="Georgia"/>
          <w:color w:val="000000"/>
        </w:rPr>
        <w:t xml:space="preserve">at this time, is an avenue worth revisiting, so we chose to present as much information on the subject as was </w:t>
      </w:r>
      <w:r w:rsidR="00AD30A2" w:rsidRPr="00CD44B3">
        <w:rPr>
          <w:rFonts w:ascii="Georgia" w:hAnsi="Georgia"/>
          <w:color w:val="000000"/>
        </w:rPr>
        <w:t>available.</w:t>
      </w:r>
    </w:p>
    <w:p w:rsidR="008E39A6" w:rsidRDefault="008E39A6" w:rsidP="00CD44B3">
      <w:pPr>
        <w:spacing w:line="360" w:lineRule="auto"/>
        <w:rPr>
          <w:rFonts w:ascii="Georgia" w:hAnsi="Georgia"/>
          <w:szCs w:val="20"/>
        </w:rPr>
      </w:pPr>
    </w:p>
    <w:p w:rsidR="008E39A6" w:rsidRDefault="008E39A6" w:rsidP="00CD44B3">
      <w:pPr>
        <w:spacing w:line="360" w:lineRule="auto"/>
        <w:rPr>
          <w:rFonts w:ascii="Georgia" w:hAnsi="Georgia"/>
          <w:szCs w:val="20"/>
        </w:rPr>
      </w:pPr>
    </w:p>
    <w:p w:rsidR="007E5638" w:rsidRPr="00CD44B3" w:rsidRDefault="007E5638" w:rsidP="008E39A6">
      <w:pPr>
        <w:rPr>
          <w:rFonts w:ascii="Georgia" w:hAnsi="Georgia"/>
          <w:szCs w:val="20"/>
        </w:rPr>
      </w:pPr>
    </w:p>
    <w:p w:rsidR="00717157" w:rsidRPr="008E39A6" w:rsidRDefault="00717157" w:rsidP="008E39A6">
      <w:pPr>
        <w:rPr>
          <w:rFonts w:ascii="Georgia" w:hAnsi="Georgia"/>
          <w:b/>
          <w:color w:val="000000"/>
          <w:szCs w:val="21"/>
        </w:rPr>
      </w:pPr>
      <w:r w:rsidRPr="008E39A6">
        <w:rPr>
          <w:rFonts w:ascii="Georgia" w:hAnsi="Georgia"/>
          <w:b/>
          <w:color w:val="000000"/>
          <w:szCs w:val="21"/>
        </w:rPr>
        <w:t>Commentary Bibliography:</w:t>
      </w:r>
    </w:p>
    <w:p w:rsidR="008E39A6" w:rsidRPr="008E39A6" w:rsidRDefault="008E39A6" w:rsidP="008E39A6">
      <w:pPr>
        <w:rPr>
          <w:rFonts w:ascii="Georgia" w:hAnsi="Georgia"/>
          <w:szCs w:val="20"/>
        </w:rPr>
      </w:pPr>
    </w:p>
    <w:p w:rsidR="008E39A6" w:rsidRPr="008E39A6" w:rsidRDefault="008E39A6" w:rsidP="008E39A6">
      <w:pPr>
        <w:rPr>
          <w:rFonts w:ascii="Georgia" w:hAnsi="Georgia" w:cs="Times New Roman"/>
          <w:color w:val="000000"/>
        </w:rPr>
      </w:pPr>
      <w:r w:rsidRPr="008E39A6">
        <w:rPr>
          <w:rFonts w:ascii="Georgia" w:hAnsi="Georgia" w:cs="Times New Roman"/>
          <w:color w:val="000000"/>
        </w:rPr>
        <w:t xml:space="preserve">‘Copy of the Bishop of Waiapu’s Notes’, H.H. Greer to Deputy Quartermaster General Headquarters, </w:t>
      </w:r>
      <w:r w:rsidRPr="008E39A6">
        <w:rPr>
          <w:rFonts w:ascii="Georgia" w:hAnsi="Georgia" w:cs="Times New Roman"/>
          <w:i/>
          <w:iCs/>
          <w:color w:val="000000"/>
        </w:rPr>
        <w:t>Appendix to the Journals of the House of Representatives</w:t>
      </w:r>
      <w:r w:rsidRPr="008E39A6">
        <w:rPr>
          <w:rFonts w:ascii="Georgia" w:hAnsi="Georgia" w:cs="Times New Roman"/>
          <w:color w:val="000000"/>
        </w:rPr>
        <w:t>, 1865, Vol. XXVIII, p. 85.</w:t>
      </w:r>
    </w:p>
    <w:p w:rsidR="008E39A6" w:rsidRPr="008E39A6" w:rsidRDefault="008E39A6" w:rsidP="008E39A6">
      <w:pPr>
        <w:ind w:firstLine="720"/>
        <w:rPr>
          <w:rFonts w:ascii="Georgia" w:hAnsi="Georgia" w:cs="Times New Roman"/>
          <w:szCs w:val="20"/>
        </w:rPr>
      </w:pPr>
    </w:p>
    <w:p w:rsidR="008E39A6" w:rsidRPr="008E39A6" w:rsidRDefault="008E39A6" w:rsidP="008E39A6">
      <w:pPr>
        <w:rPr>
          <w:rFonts w:ascii="Georgia" w:hAnsi="Georgia" w:cs="Times New Roman"/>
          <w:szCs w:val="20"/>
        </w:rPr>
      </w:pPr>
      <w:r w:rsidRPr="008E39A6">
        <w:rPr>
          <w:rFonts w:ascii="Georgia" w:hAnsi="Georgia" w:cs="Times New Roman"/>
          <w:color w:val="000000"/>
        </w:rPr>
        <w:t xml:space="preserve">H.E Rice to Colonial Secretary, Native Department, </w:t>
      </w:r>
      <w:r w:rsidRPr="008E39A6">
        <w:rPr>
          <w:rFonts w:ascii="Georgia" w:hAnsi="Georgia" w:cs="Times New Roman"/>
          <w:i/>
          <w:iCs/>
          <w:color w:val="000000"/>
        </w:rPr>
        <w:t>Appendix to the Journals of the House of Representatives,</w:t>
      </w:r>
      <w:r w:rsidRPr="008E39A6">
        <w:rPr>
          <w:rFonts w:ascii="Georgia" w:hAnsi="Georgia" w:cs="Times New Roman"/>
          <w:color w:val="000000"/>
        </w:rPr>
        <w:t xml:space="preserve"> 1865, Vol. XXVIII, pp. 86 - 89.</w:t>
      </w:r>
    </w:p>
    <w:p w:rsidR="008E39A6" w:rsidRPr="008E39A6" w:rsidRDefault="008E39A6" w:rsidP="008E39A6">
      <w:pPr>
        <w:rPr>
          <w:rFonts w:ascii="Georgia" w:hAnsi="Georgia" w:cs="Times New Roman"/>
          <w:szCs w:val="20"/>
        </w:rPr>
      </w:pPr>
    </w:p>
    <w:p w:rsidR="008E39A6" w:rsidRPr="008E39A6" w:rsidRDefault="008E39A6" w:rsidP="008E39A6">
      <w:pPr>
        <w:rPr>
          <w:rFonts w:ascii="Georgia" w:hAnsi="Georgia" w:cs="Times New Roman"/>
          <w:szCs w:val="20"/>
        </w:rPr>
      </w:pPr>
      <w:r w:rsidRPr="008E39A6">
        <w:rPr>
          <w:rFonts w:ascii="Georgia" w:hAnsi="Georgia" w:cs="Times New Roman"/>
          <w:color w:val="000000"/>
        </w:rPr>
        <w:t xml:space="preserve">Belich, James, </w:t>
      </w:r>
      <w:r w:rsidRPr="008E39A6">
        <w:rPr>
          <w:rFonts w:ascii="Georgia" w:hAnsi="Georgia" w:cs="Times New Roman"/>
          <w:i/>
          <w:iCs/>
          <w:color w:val="000000"/>
        </w:rPr>
        <w:t>The New Zealand Wars and the Victorian Interpretation of Racial Conflict</w:t>
      </w:r>
      <w:r w:rsidRPr="008E39A6">
        <w:rPr>
          <w:rFonts w:ascii="Georgia" w:hAnsi="Georgia" w:cs="Times New Roman"/>
          <w:color w:val="000000"/>
        </w:rPr>
        <w:t xml:space="preserve">   (Auckland: Auckland University Press, 1986)</w:t>
      </w:r>
    </w:p>
    <w:p w:rsidR="008E39A6" w:rsidRPr="008E39A6" w:rsidRDefault="008E39A6" w:rsidP="008E39A6">
      <w:pPr>
        <w:rPr>
          <w:rFonts w:ascii="Georgia" w:hAnsi="Georgia" w:cs="Times New Roman"/>
          <w:szCs w:val="20"/>
        </w:rPr>
      </w:pPr>
      <w:r w:rsidRPr="008E39A6">
        <w:rPr>
          <w:rFonts w:ascii="Georgia" w:hAnsi="Georgia" w:cs="Times New Roman"/>
          <w:color w:val="000000"/>
        </w:rPr>
        <w:tab/>
      </w:r>
    </w:p>
    <w:p w:rsidR="008E39A6" w:rsidRPr="008E39A6" w:rsidRDefault="008E39A6" w:rsidP="008E39A6">
      <w:pPr>
        <w:rPr>
          <w:rFonts w:ascii="Georgia" w:hAnsi="Georgia" w:cs="Times New Roman"/>
          <w:szCs w:val="20"/>
        </w:rPr>
      </w:pPr>
      <w:r w:rsidRPr="008E39A6">
        <w:rPr>
          <w:rFonts w:ascii="Georgia" w:hAnsi="Georgia" w:cs="Times New Roman"/>
          <w:color w:val="000000"/>
        </w:rPr>
        <w:t xml:space="preserve">Higgens, Rawinia and Keane, Basil, ‘Te reo Maori - the Maori language’, </w:t>
      </w:r>
      <w:r w:rsidRPr="008E39A6">
        <w:rPr>
          <w:rFonts w:ascii="Georgia" w:hAnsi="Georgia" w:cs="Times New Roman"/>
          <w:i/>
          <w:color w:val="000000"/>
        </w:rPr>
        <w:t>Te Ara - The Encyclopedia of New Zealand</w:t>
      </w:r>
      <w:r w:rsidRPr="008E39A6">
        <w:rPr>
          <w:rFonts w:ascii="Georgia" w:hAnsi="Georgia" w:cs="Times New Roman"/>
          <w:color w:val="000000"/>
        </w:rPr>
        <w:t>, updated 10-sep-13. URL: http://www.TeAra.govt.nz/en/te-reo-maori-the-maori-language/sources</w:t>
      </w:r>
      <w:r w:rsidR="00A526C4">
        <w:rPr>
          <w:rFonts w:ascii="Georgia" w:hAnsi="Georgia" w:cs="Times New Roman"/>
          <w:color w:val="000000"/>
        </w:rPr>
        <w:t>.</w:t>
      </w:r>
    </w:p>
    <w:p w:rsidR="008E39A6" w:rsidRPr="008E39A6" w:rsidRDefault="008E39A6" w:rsidP="008E39A6">
      <w:pPr>
        <w:rPr>
          <w:rFonts w:ascii="Georgia" w:hAnsi="Georgia"/>
          <w:szCs w:val="20"/>
        </w:rPr>
      </w:pPr>
    </w:p>
    <w:p w:rsidR="008E39A6" w:rsidRPr="008E39A6" w:rsidRDefault="008E39A6" w:rsidP="008E39A6">
      <w:pPr>
        <w:rPr>
          <w:rFonts w:ascii="Georgia" w:hAnsi="Georgia" w:cs="Times New Roman"/>
          <w:szCs w:val="20"/>
        </w:rPr>
      </w:pPr>
      <w:r w:rsidRPr="008E39A6">
        <w:rPr>
          <w:rFonts w:ascii="Georgia" w:hAnsi="Georgia" w:cs="Times New Roman"/>
          <w:color w:val="000000"/>
        </w:rPr>
        <w:t xml:space="preserve">Oliver, Steven, ‘Ngatai, Hori’, </w:t>
      </w:r>
      <w:r w:rsidRPr="008E39A6">
        <w:rPr>
          <w:rFonts w:ascii="Georgia" w:hAnsi="Georgia" w:cs="Times New Roman"/>
          <w:i/>
          <w:color w:val="000000"/>
        </w:rPr>
        <w:t>Dicti</w:t>
      </w:r>
      <w:r w:rsidR="00A526C4">
        <w:rPr>
          <w:rFonts w:ascii="Georgia" w:hAnsi="Georgia" w:cs="Times New Roman"/>
          <w:i/>
          <w:color w:val="000000"/>
        </w:rPr>
        <w:t xml:space="preserve">onary of New Zealand Biography - </w:t>
      </w:r>
      <w:r w:rsidRPr="008E39A6">
        <w:rPr>
          <w:rFonts w:ascii="Georgia" w:hAnsi="Georgia" w:cs="Times New Roman"/>
          <w:i/>
          <w:color w:val="000000"/>
        </w:rPr>
        <w:t>Te Ara, the Encyclopedia of New Zealand</w:t>
      </w:r>
      <w:r w:rsidRPr="008E39A6">
        <w:rPr>
          <w:rFonts w:ascii="Georgia" w:hAnsi="Georgia" w:cs="Times New Roman"/>
          <w:color w:val="000000"/>
        </w:rPr>
        <w:t>, updated 30-oct-2012. URL: http://www.TeAra.govt.nz/en/biographies/1n8/ngatai-hori.</w:t>
      </w:r>
    </w:p>
    <w:p w:rsidR="008E39A6" w:rsidRDefault="008E39A6" w:rsidP="008E39A6">
      <w:pPr>
        <w:rPr>
          <w:rFonts w:ascii="Georgia" w:hAnsi="Georgia"/>
        </w:rPr>
      </w:pPr>
    </w:p>
    <w:p w:rsidR="008E39A6" w:rsidRPr="008E39A6" w:rsidRDefault="008E39A6" w:rsidP="008E39A6">
      <w:pPr>
        <w:rPr>
          <w:rFonts w:ascii="Georgia" w:hAnsi="Georgia"/>
        </w:rPr>
      </w:pPr>
    </w:p>
    <w:p w:rsidR="008E39A6" w:rsidRPr="008E39A6" w:rsidRDefault="008E39A6" w:rsidP="008E39A6">
      <w:pPr>
        <w:rPr>
          <w:rFonts w:ascii="Georgia" w:hAnsi="Georgia" w:cs="Times New Roman"/>
          <w:szCs w:val="20"/>
        </w:rPr>
      </w:pPr>
      <w:r w:rsidRPr="008E39A6">
        <w:rPr>
          <w:rFonts w:ascii="Georgia" w:hAnsi="Georgia" w:cs="Times New Roman"/>
          <w:b/>
          <w:bCs/>
          <w:color w:val="000000"/>
        </w:rPr>
        <w:t>Spreadsheet:</w:t>
      </w:r>
    </w:p>
    <w:p w:rsidR="008E39A6" w:rsidRDefault="008E39A6" w:rsidP="008E39A6">
      <w:pPr>
        <w:rPr>
          <w:rFonts w:ascii="Georgia" w:hAnsi="Georgia" w:cs="Times New Roman"/>
          <w:color w:val="000000"/>
        </w:rPr>
      </w:pPr>
    </w:p>
    <w:p w:rsidR="008E39A6" w:rsidRPr="008E39A6" w:rsidRDefault="008E39A6" w:rsidP="008E39A6">
      <w:pPr>
        <w:rPr>
          <w:rFonts w:ascii="Georgia" w:hAnsi="Georgia" w:cs="Times New Roman"/>
          <w:szCs w:val="20"/>
        </w:rPr>
      </w:pPr>
      <w:r w:rsidRPr="008E39A6">
        <w:rPr>
          <w:rFonts w:ascii="Georgia" w:hAnsi="Georgia" w:cs="Times New Roman"/>
          <w:color w:val="000000"/>
        </w:rPr>
        <w:t xml:space="preserve">H.E Rice to Colonial Secretary, Native Department, </w:t>
      </w:r>
      <w:r w:rsidRPr="008E39A6">
        <w:rPr>
          <w:rFonts w:ascii="Georgia" w:hAnsi="Georgia" w:cs="Times New Roman"/>
          <w:i/>
          <w:iCs/>
          <w:color w:val="000000"/>
        </w:rPr>
        <w:t>Appendix to the Journals of the House of Representatives,</w:t>
      </w:r>
      <w:r w:rsidRPr="008E39A6">
        <w:rPr>
          <w:rFonts w:ascii="Georgia" w:hAnsi="Georgia" w:cs="Times New Roman"/>
          <w:color w:val="000000"/>
        </w:rPr>
        <w:t xml:space="preserve"> 1865, Vol. XXVIII</w:t>
      </w:r>
      <w:r w:rsidR="00A526C4">
        <w:rPr>
          <w:rFonts w:ascii="Georgia" w:hAnsi="Georgia" w:cs="Times New Roman"/>
          <w:color w:val="000000"/>
        </w:rPr>
        <w:t>,</w:t>
      </w:r>
      <w:r w:rsidRPr="008E39A6">
        <w:rPr>
          <w:rFonts w:ascii="Georgia" w:hAnsi="Georgia" w:cs="Times New Roman"/>
          <w:color w:val="000000"/>
        </w:rPr>
        <w:t xml:space="preserve"> pp. 86 - 89.</w:t>
      </w:r>
    </w:p>
    <w:p w:rsidR="008E39A6" w:rsidRDefault="008E39A6" w:rsidP="008E39A6">
      <w:pPr>
        <w:rPr>
          <w:rFonts w:ascii="Georgia" w:hAnsi="Georgia"/>
          <w:szCs w:val="20"/>
        </w:rPr>
      </w:pPr>
    </w:p>
    <w:p w:rsidR="008E39A6" w:rsidRDefault="008E39A6" w:rsidP="008E39A6">
      <w:pPr>
        <w:rPr>
          <w:rFonts w:ascii="Georgia" w:hAnsi="Georgia"/>
          <w:szCs w:val="20"/>
        </w:rPr>
      </w:pPr>
    </w:p>
    <w:p w:rsidR="008E39A6" w:rsidRPr="008E39A6" w:rsidRDefault="008E39A6" w:rsidP="008E39A6">
      <w:pPr>
        <w:rPr>
          <w:rFonts w:ascii="Georgia" w:hAnsi="Georgia" w:cs="Times New Roman"/>
          <w:szCs w:val="20"/>
        </w:rPr>
      </w:pPr>
      <w:r w:rsidRPr="008E39A6">
        <w:rPr>
          <w:rFonts w:ascii="Georgia" w:hAnsi="Georgia" w:cs="Times New Roman"/>
          <w:b/>
          <w:bCs/>
          <w:color w:val="000000"/>
        </w:rPr>
        <w:t>Carte De Visite:</w:t>
      </w:r>
    </w:p>
    <w:p w:rsidR="00A526C4" w:rsidRDefault="00A526C4" w:rsidP="008E39A6">
      <w:pPr>
        <w:rPr>
          <w:rFonts w:ascii="Georgia" w:hAnsi="Georgia" w:cs="Times New Roman"/>
          <w:color w:val="000000"/>
        </w:rPr>
      </w:pPr>
    </w:p>
    <w:p w:rsidR="00A526C4" w:rsidRPr="00A526C4" w:rsidRDefault="00A526C4" w:rsidP="00A526C4">
      <w:pPr>
        <w:rPr>
          <w:rFonts w:ascii="Georgia" w:hAnsi="Georgia"/>
          <w:sz w:val="20"/>
          <w:szCs w:val="20"/>
        </w:rPr>
      </w:pPr>
      <w:r w:rsidRPr="00A526C4">
        <w:rPr>
          <w:rFonts w:ascii="Georgia" w:hAnsi="Georgia"/>
          <w:color w:val="000000"/>
        </w:rPr>
        <w:t xml:space="preserve">Māori Language Commission, ‘Mihimihi’, </w:t>
      </w:r>
      <w:r w:rsidRPr="00A526C4">
        <w:rPr>
          <w:rFonts w:ascii="Georgia" w:hAnsi="Georgia"/>
          <w:i/>
          <w:color w:val="000000"/>
        </w:rPr>
        <w:t xml:space="preserve">Kōrero Māori, </w:t>
      </w:r>
      <w:r w:rsidRPr="00A526C4">
        <w:rPr>
          <w:rFonts w:ascii="Georgia" w:hAnsi="Georgia"/>
          <w:color w:val="000000"/>
        </w:rPr>
        <w:t>updated May-2013.</w:t>
      </w:r>
    </w:p>
    <w:p w:rsidR="00A526C4" w:rsidRPr="00A526C4" w:rsidRDefault="00A526C4" w:rsidP="00A526C4">
      <w:pPr>
        <w:rPr>
          <w:rFonts w:ascii="Georgia" w:hAnsi="Georgia"/>
        </w:rPr>
      </w:pPr>
      <w:r w:rsidRPr="00A526C4">
        <w:rPr>
          <w:rFonts w:ascii="Georgia" w:hAnsi="Georgia"/>
        </w:rPr>
        <w:t>URL: http://www.korero.maori.nz/forlearners/protocols/mihimihi.html.</w:t>
      </w:r>
    </w:p>
    <w:p w:rsidR="00A526C4" w:rsidRDefault="00A526C4" w:rsidP="008E39A6">
      <w:pPr>
        <w:rPr>
          <w:rFonts w:ascii="Georgia" w:hAnsi="Georgia" w:cs="Times New Roman"/>
          <w:color w:val="000000"/>
        </w:rPr>
      </w:pPr>
    </w:p>
    <w:p w:rsidR="00A526C4" w:rsidRPr="00A526C4" w:rsidRDefault="00A526C4" w:rsidP="00A526C4">
      <w:pPr>
        <w:rPr>
          <w:rFonts w:ascii="Georgia" w:hAnsi="Georgia" w:cs="Times New Roman"/>
          <w:szCs w:val="20"/>
        </w:rPr>
      </w:pPr>
      <w:r w:rsidRPr="00A526C4">
        <w:rPr>
          <w:rFonts w:ascii="Georgia" w:hAnsi="Georgia" w:cs="Times New Roman"/>
          <w:color w:val="000000"/>
        </w:rPr>
        <w:t xml:space="preserve">Oliver, Steven, ‘Ngatai, Hori’, </w:t>
      </w:r>
      <w:r w:rsidRPr="00A526C4">
        <w:rPr>
          <w:rFonts w:ascii="Georgia" w:hAnsi="Georgia" w:cs="Times New Roman"/>
          <w:i/>
          <w:color w:val="000000"/>
        </w:rPr>
        <w:t>Dictionary of New Zealand Biography - Te Ara, the Encyclopedia of New Zealand</w:t>
      </w:r>
      <w:r w:rsidRPr="00A526C4">
        <w:rPr>
          <w:rFonts w:ascii="Georgia" w:hAnsi="Georgia" w:cs="Times New Roman"/>
          <w:color w:val="000000"/>
        </w:rPr>
        <w:t>, updated 30-oct-2012. URL: http://www.TeAra.govt.nz/en/biographies/1n8/ngatai-hori.</w:t>
      </w:r>
    </w:p>
    <w:p w:rsidR="008E39A6" w:rsidRDefault="008E39A6" w:rsidP="008E39A6">
      <w:pPr>
        <w:rPr>
          <w:rFonts w:ascii="Georgia" w:hAnsi="Georgia" w:cs="Times New Roman"/>
          <w:color w:val="000000"/>
        </w:rPr>
      </w:pPr>
    </w:p>
    <w:p w:rsidR="008E39A6" w:rsidRPr="00A526C4" w:rsidRDefault="008E39A6" w:rsidP="008E39A6">
      <w:pPr>
        <w:rPr>
          <w:rFonts w:ascii="Georgia" w:hAnsi="Georgia" w:cs="Times New Roman"/>
          <w:color w:val="000000"/>
        </w:rPr>
      </w:pPr>
      <w:r w:rsidRPr="00A526C4">
        <w:rPr>
          <w:rFonts w:ascii="Georgia" w:hAnsi="Georgia" w:cs="Times New Roman"/>
          <w:color w:val="000000"/>
        </w:rPr>
        <w:t>Pulman (Firm). New Zealand Tourist and Publicity Departm</w:t>
      </w:r>
      <w:r w:rsidR="00A526C4" w:rsidRPr="00A526C4">
        <w:rPr>
          <w:rFonts w:ascii="Georgia" w:hAnsi="Georgia" w:cs="Times New Roman"/>
          <w:color w:val="000000"/>
        </w:rPr>
        <w:t xml:space="preserve">ent: </w:t>
      </w:r>
      <w:r w:rsidRPr="00A526C4">
        <w:rPr>
          <w:rFonts w:ascii="Georgia" w:hAnsi="Georgia" w:cs="Times New Roman"/>
          <w:color w:val="000000"/>
        </w:rPr>
        <w:t>Hori Ngatai. Ref: 1/2-111250-F. Alexander Turnbull Library, Wellington, New Zealand. URL: http://natlib.govt.nz/records/23065197</w:t>
      </w:r>
      <w:r w:rsidR="00A526C4" w:rsidRPr="00A526C4">
        <w:rPr>
          <w:rFonts w:ascii="Georgia" w:hAnsi="Georgia" w:cs="Times New Roman"/>
          <w:color w:val="000000"/>
        </w:rPr>
        <w:t>.</w:t>
      </w:r>
      <w:r w:rsidRPr="00A526C4">
        <w:rPr>
          <w:rFonts w:ascii="Georgia" w:hAnsi="Georgia" w:cs="Times New Roman"/>
          <w:color w:val="000000"/>
        </w:rPr>
        <w:t xml:space="preserve"> </w:t>
      </w:r>
    </w:p>
    <w:p w:rsidR="00A526C4" w:rsidRPr="00A526C4" w:rsidRDefault="00A526C4" w:rsidP="008E39A6">
      <w:pPr>
        <w:rPr>
          <w:rFonts w:ascii="Georgia" w:hAnsi="Georgia" w:cs="Times New Roman"/>
          <w:szCs w:val="20"/>
        </w:rPr>
      </w:pPr>
    </w:p>
    <w:p w:rsidR="008E39A6" w:rsidRPr="00A526C4" w:rsidRDefault="008E39A6" w:rsidP="008E39A6">
      <w:pPr>
        <w:rPr>
          <w:rFonts w:ascii="Georgia" w:hAnsi="Georgia" w:cs="Times New Roman"/>
          <w:szCs w:val="20"/>
        </w:rPr>
      </w:pPr>
    </w:p>
    <w:p w:rsidR="008E39A6" w:rsidRPr="008E39A6" w:rsidRDefault="008E39A6" w:rsidP="008E39A6">
      <w:pPr>
        <w:rPr>
          <w:rFonts w:ascii="Times" w:hAnsi="Times"/>
          <w:sz w:val="20"/>
          <w:szCs w:val="20"/>
        </w:rPr>
      </w:pPr>
    </w:p>
    <w:sectPr w:rsidR="008E39A6" w:rsidRPr="008E39A6" w:rsidSect="007E5638">
      <w:headerReference w:type="default" r:id="rId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1B" w:rsidRDefault="008A7F1B">
      <w:r>
        <w:separator/>
      </w:r>
    </w:p>
  </w:endnote>
  <w:endnote w:type="continuationSeparator" w:id="0">
    <w:p w:rsidR="008A7F1B" w:rsidRDefault="008A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C4" w:rsidRDefault="00A526C4" w:rsidP="00D07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6C4" w:rsidRDefault="00A526C4" w:rsidP="00A526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C4" w:rsidRDefault="00A526C4" w:rsidP="00D07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7F1B">
      <w:rPr>
        <w:rStyle w:val="PageNumber"/>
        <w:noProof/>
      </w:rPr>
      <w:t>1</w:t>
    </w:r>
    <w:r>
      <w:rPr>
        <w:rStyle w:val="PageNumber"/>
      </w:rPr>
      <w:fldChar w:fldCharType="end"/>
    </w:r>
  </w:p>
  <w:p w:rsidR="00A526C4" w:rsidRDefault="00A526C4" w:rsidP="00A526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1B" w:rsidRDefault="008A7F1B">
      <w:r>
        <w:separator/>
      </w:r>
    </w:p>
  </w:footnote>
  <w:footnote w:type="continuationSeparator" w:id="0">
    <w:p w:rsidR="008A7F1B" w:rsidRDefault="008A7F1B">
      <w:r>
        <w:continuationSeparator/>
      </w:r>
    </w:p>
  </w:footnote>
  <w:footnote w:id="1">
    <w:p w:rsidR="008E39A6" w:rsidRPr="008E39A6" w:rsidRDefault="008E39A6" w:rsidP="00717157">
      <w:pPr>
        <w:rPr>
          <w:rFonts w:ascii="Georgia" w:hAnsi="Georgia"/>
          <w:sz w:val="20"/>
          <w:szCs w:val="20"/>
        </w:rPr>
      </w:pPr>
      <w:r w:rsidRPr="008E39A6">
        <w:rPr>
          <w:rStyle w:val="FootnoteReference"/>
          <w:rFonts w:ascii="Georgia" w:hAnsi="Georgia"/>
          <w:sz w:val="20"/>
        </w:rPr>
        <w:footnoteRef/>
      </w:r>
      <w:r w:rsidRPr="008E39A6">
        <w:rPr>
          <w:rFonts w:ascii="Georgia" w:hAnsi="Georgia"/>
          <w:sz w:val="20"/>
        </w:rPr>
        <w:t xml:space="preserve"> </w:t>
      </w:r>
      <w:r w:rsidRPr="008E39A6">
        <w:rPr>
          <w:rFonts w:ascii="Georgia" w:hAnsi="Georgia"/>
          <w:color w:val="000000"/>
          <w:sz w:val="20"/>
          <w:szCs w:val="21"/>
        </w:rPr>
        <w:t xml:space="preserve">James Belich, </w:t>
      </w:r>
      <w:r w:rsidRPr="008E39A6">
        <w:rPr>
          <w:rFonts w:ascii="Georgia" w:hAnsi="Georgia"/>
          <w:i/>
          <w:iCs/>
          <w:color w:val="000000"/>
          <w:sz w:val="20"/>
          <w:szCs w:val="21"/>
        </w:rPr>
        <w:t xml:space="preserve">The New Zealand Wars and the Victorian Interpretation of Racial Conflict </w:t>
      </w:r>
      <w:r w:rsidRPr="008E39A6">
        <w:rPr>
          <w:rFonts w:ascii="Georgia" w:hAnsi="Georgia"/>
          <w:color w:val="000000"/>
          <w:sz w:val="20"/>
          <w:szCs w:val="21"/>
        </w:rPr>
        <w:t>(Auckland: Auckland University Press, 1986) p.196.</w:t>
      </w:r>
    </w:p>
    <w:p w:rsidR="008E39A6" w:rsidRPr="008E39A6" w:rsidRDefault="008E39A6">
      <w:pPr>
        <w:pStyle w:val="FootnoteText"/>
        <w:rPr>
          <w:rFonts w:ascii="Georgia" w:hAnsi="Georgia"/>
          <w:sz w:val="20"/>
        </w:rPr>
      </w:pPr>
    </w:p>
  </w:footnote>
  <w:footnote w:id="2">
    <w:p w:rsidR="008E39A6" w:rsidRPr="008E39A6" w:rsidRDefault="008E39A6" w:rsidP="00717157">
      <w:pPr>
        <w:rPr>
          <w:rFonts w:ascii="Georgia" w:hAnsi="Georgia"/>
          <w:sz w:val="20"/>
          <w:szCs w:val="20"/>
        </w:rPr>
      </w:pPr>
      <w:r w:rsidRPr="008E39A6">
        <w:rPr>
          <w:rStyle w:val="FootnoteReference"/>
          <w:rFonts w:ascii="Georgia" w:hAnsi="Georgia"/>
          <w:sz w:val="20"/>
        </w:rPr>
        <w:footnoteRef/>
      </w:r>
      <w:r w:rsidRPr="008E39A6">
        <w:rPr>
          <w:rFonts w:ascii="Georgia" w:hAnsi="Georgia"/>
          <w:sz w:val="20"/>
        </w:rPr>
        <w:t xml:space="preserve"> </w:t>
      </w:r>
      <w:r w:rsidRPr="008E39A6">
        <w:rPr>
          <w:rFonts w:ascii="Georgia" w:hAnsi="Georgia"/>
          <w:color w:val="000000"/>
          <w:sz w:val="20"/>
          <w:szCs w:val="21"/>
        </w:rPr>
        <w:t xml:space="preserve">Rawinia Higgens and Basil Keane, ‘Te reo Maori - the Maori Language’, </w:t>
      </w:r>
      <w:r w:rsidRPr="008E39A6">
        <w:rPr>
          <w:rFonts w:ascii="Georgia" w:hAnsi="Georgia"/>
          <w:i/>
          <w:color w:val="000000"/>
          <w:sz w:val="20"/>
          <w:szCs w:val="21"/>
        </w:rPr>
        <w:t>Te Ara - The Encyclopedia of New Zealand</w:t>
      </w:r>
      <w:r w:rsidRPr="008E39A6">
        <w:rPr>
          <w:rFonts w:ascii="Georgia" w:hAnsi="Georgia"/>
          <w:color w:val="000000"/>
          <w:sz w:val="20"/>
          <w:szCs w:val="21"/>
        </w:rPr>
        <w:t>, updated 10-sep-13. URL: http://www.TeAra.govt.nz/en/te-reo-maori-the-maori-language/sources.</w:t>
      </w:r>
    </w:p>
    <w:p w:rsidR="008E39A6" w:rsidRPr="008E39A6" w:rsidRDefault="008E39A6" w:rsidP="00717157">
      <w:pPr>
        <w:rPr>
          <w:rFonts w:ascii="Georgia" w:hAnsi="Georgia"/>
          <w:sz w:val="20"/>
        </w:rPr>
      </w:pPr>
    </w:p>
  </w:footnote>
  <w:footnote w:id="3">
    <w:p w:rsidR="008E39A6" w:rsidRPr="008E39A6" w:rsidRDefault="008E39A6" w:rsidP="00717157">
      <w:pPr>
        <w:rPr>
          <w:rFonts w:ascii="Georgia" w:hAnsi="Georgia"/>
          <w:sz w:val="20"/>
          <w:szCs w:val="20"/>
        </w:rPr>
      </w:pPr>
      <w:r w:rsidRPr="008E39A6">
        <w:rPr>
          <w:rStyle w:val="FootnoteReference"/>
          <w:rFonts w:ascii="Georgia" w:hAnsi="Georgia"/>
          <w:sz w:val="20"/>
        </w:rPr>
        <w:footnoteRef/>
      </w:r>
      <w:r w:rsidRPr="008E39A6">
        <w:rPr>
          <w:rFonts w:ascii="Georgia" w:hAnsi="Georgia"/>
          <w:sz w:val="20"/>
        </w:rPr>
        <w:t xml:space="preserve"> National Library of New Zealand, ‘</w:t>
      </w:r>
      <w:r w:rsidRPr="008E39A6">
        <w:rPr>
          <w:rFonts w:ascii="Georgia" w:hAnsi="Georgia"/>
          <w:color w:val="000000"/>
          <w:sz w:val="20"/>
          <w:szCs w:val="27"/>
        </w:rPr>
        <w:t xml:space="preserve">Iwi Hapū Names List’, </w:t>
      </w:r>
      <w:r w:rsidRPr="008E39A6">
        <w:rPr>
          <w:rFonts w:ascii="Georgia" w:hAnsi="Georgia"/>
          <w:i/>
          <w:color w:val="000000"/>
          <w:sz w:val="20"/>
          <w:szCs w:val="27"/>
        </w:rPr>
        <w:t>National Library of New Zealand</w:t>
      </w:r>
      <w:r w:rsidRPr="008E39A6">
        <w:rPr>
          <w:rFonts w:ascii="Georgia" w:hAnsi="Georgia"/>
          <w:color w:val="000000"/>
          <w:sz w:val="20"/>
        </w:rPr>
        <w:t>,</w:t>
      </w:r>
      <w:r w:rsidRPr="008E39A6">
        <w:rPr>
          <w:rFonts w:ascii="Georgia" w:hAnsi="Georgia"/>
          <w:i/>
          <w:color w:val="000000"/>
          <w:sz w:val="20"/>
        </w:rPr>
        <w:t xml:space="preserve"> </w:t>
      </w:r>
      <w:r w:rsidRPr="008E39A6">
        <w:rPr>
          <w:rFonts w:ascii="Georgia" w:hAnsi="Georgia"/>
          <w:color w:val="000000"/>
          <w:sz w:val="20"/>
        </w:rPr>
        <w:t>updated Sep-07. URL:</w:t>
      </w:r>
      <w:r w:rsidRPr="008E39A6">
        <w:rPr>
          <w:rFonts w:ascii="Georgia" w:hAnsi="Georgia"/>
          <w:sz w:val="20"/>
        </w:rPr>
        <w:t>http://iwihapu.natlib.govt.nz/.</w:t>
      </w:r>
    </w:p>
  </w:footnote>
  <w:footnote w:id="4">
    <w:p w:rsidR="008E39A6" w:rsidRPr="008E39A6" w:rsidRDefault="008E39A6" w:rsidP="008E39A6">
      <w:pPr>
        <w:rPr>
          <w:rFonts w:ascii="Georgia" w:hAnsi="Georgia"/>
          <w:color w:val="000000"/>
          <w:sz w:val="20"/>
          <w:szCs w:val="21"/>
        </w:rPr>
      </w:pPr>
      <w:r w:rsidRPr="008E39A6">
        <w:rPr>
          <w:rStyle w:val="FootnoteReference"/>
          <w:rFonts w:ascii="Georgia" w:hAnsi="Georgia"/>
          <w:sz w:val="20"/>
        </w:rPr>
        <w:footnoteRef/>
      </w:r>
      <w:r w:rsidRPr="008E39A6">
        <w:rPr>
          <w:rFonts w:ascii="Georgia" w:hAnsi="Georgia"/>
          <w:sz w:val="20"/>
        </w:rPr>
        <w:t xml:space="preserve"> </w:t>
      </w:r>
      <w:r w:rsidRPr="008E39A6">
        <w:rPr>
          <w:rFonts w:ascii="Georgia" w:hAnsi="Georgia"/>
          <w:color w:val="000000"/>
          <w:sz w:val="20"/>
          <w:szCs w:val="21"/>
        </w:rPr>
        <w:t>Belich, pp.194-195.</w:t>
      </w:r>
    </w:p>
    <w:p w:rsidR="008E39A6" w:rsidRPr="008E39A6" w:rsidRDefault="008E39A6" w:rsidP="008E39A6">
      <w:pPr>
        <w:rPr>
          <w:rFonts w:ascii="Georgia" w:hAnsi="Georgia"/>
          <w:sz w:val="20"/>
          <w:szCs w:val="20"/>
        </w:rPr>
      </w:pPr>
    </w:p>
  </w:footnote>
  <w:footnote w:id="5">
    <w:p w:rsidR="008E39A6" w:rsidRPr="008E39A6" w:rsidRDefault="008E39A6" w:rsidP="00CD44B3">
      <w:pPr>
        <w:pStyle w:val="NormalWeb"/>
        <w:spacing w:beforeLines="0" w:afterLines="0"/>
        <w:rPr>
          <w:rFonts w:ascii="Georgia" w:hAnsi="Georgia"/>
        </w:rPr>
      </w:pPr>
      <w:r w:rsidRPr="008E39A6">
        <w:rPr>
          <w:rStyle w:val="FootnoteReference"/>
          <w:rFonts w:ascii="Georgia" w:hAnsi="Georgia"/>
        </w:rPr>
        <w:footnoteRef/>
      </w:r>
      <w:r w:rsidRPr="008E39A6">
        <w:rPr>
          <w:rFonts w:ascii="Georgia" w:hAnsi="Georgia"/>
        </w:rPr>
        <w:t xml:space="preserve"> </w:t>
      </w:r>
      <w:r w:rsidRPr="008E39A6">
        <w:rPr>
          <w:rFonts w:ascii="Georgia" w:hAnsi="Georgia"/>
          <w:color w:val="000000"/>
          <w:szCs w:val="21"/>
        </w:rPr>
        <w:t xml:space="preserve">‘Copy of Bishop of Waiapu’s Notes’, </w:t>
      </w:r>
      <w:r w:rsidRPr="008E39A6">
        <w:rPr>
          <w:rFonts w:ascii="Georgia" w:hAnsi="Georgia"/>
          <w:i/>
          <w:iCs/>
          <w:color w:val="000000"/>
          <w:szCs w:val="21"/>
        </w:rPr>
        <w:t>Appendix to the Journals of the house of Representatives (AJHR)</w:t>
      </w:r>
      <w:r w:rsidRPr="008E39A6">
        <w:rPr>
          <w:rFonts w:ascii="Georgia" w:hAnsi="Georgia"/>
          <w:color w:val="000000"/>
          <w:szCs w:val="21"/>
        </w:rPr>
        <w:t>, 1865, Vol. XXXVII, p. 85.</w:t>
      </w:r>
    </w:p>
    <w:p w:rsidR="008E39A6" w:rsidRPr="00CD44B3" w:rsidRDefault="008E39A6" w:rsidP="00CD44B3">
      <w:pPr>
        <w:rPr>
          <w:rFonts w:ascii="Times" w:hAnsi="Times"/>
          <w:sz w:val="20"/>
          <w:szCs w:val="20"/>
        </w:rPr>
      </w:pPr>
    </w:p>
    <w:p w:rsidR="008E39A6" w:rsidRDefault="008E39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A6" w:rsidRDefault="008E39A6" w:rsidP="00246A83">
    <w:pPr>
      <w:pStyle w:val="Header"/>
    </w:pPr>
    <w:r>
      <w:t xml:space="preserve">Hist316 Group Project – Commentary         </w:t>
    </w:r>
    <w:r w:rsidR="00246A8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E5638"/>
    <w:rsid w:val="0014030A"/>
    <w:rsid w:val="00246A83"/>
    <w:rsid w:val="005D5A80"/>
    <w:rsid w:val="00717157"/>
    <w:rsid w:val="007E5638"/>
    <w:rsid w:val="008622D3"/>
    <w:rsid w:val="008A7F1B"/>
    <w:rsid w:val="008E39A6"/>
    <w:rsid w:val="00961298"/>
    <w:rsid w:val="009A639F"/>
    <w:rsid w:val="009A7025"/>
    <w:rsid w:val="00A526C4"/>
    <w:rsid w:val="00AD30A2"/>
    <w:rsid w:val="00C61D3E"/>
    <w:rsid w:val="00CD44B3"/>
    <w:rsid w:val="00D405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5638"/>
    <w:pPr>
      <w:spacing w:beforeLines="1" w:afterLines="1"/>
    </w:pPr>
    <w:rPr>
      <w:rFonts w:ascii="Times" w:hAnsi="Times" w:cs="Times New Roman"/>
      <w:sz w:val="20"/>
      <w:szCs w:val="20"/>
    </w:rPr>
  </w:style>
  <w:style w:type="paragraph" w:styleId="FootnoteText">
    <w:name w:val="footnote text"/>
    <w:basedOn w:val="Normal"/>
    <w:link w:val="FootnoteTextChar"/>
    <w:uiPriority w:val="99"/>
    <w:semiHidden/>
    <w:unhideWhenUsed/>
    <w:rsid w:val="00D405C4"/>
  </w:style>
  <w:style w:type="character" w:customStyle="1" w:styleId="FootnoteTextChar">
    <w:name w:val="Footnote Text Char"/>
    <w:basedOn w:val="DefaultParagraphFont"/>
    <w:link w:val="FootnoteText"/>
    <w:uiPriority w:val="99"/>
    <w:semiHidden/>
    <w:rsid w:val="00D405C4"/>
  </w:style>
  <w:style w:type="character" w:styleId="FootnoteReference">
    <w:name w:val="footnote reference"/>
    <w:basedOn w:val="DefaultParagraphFont"/>
    <w:uiPriority w:val="99"/>
    <w:semiHidden/>
    <w:unhideWhenUsed/>
    <w:rsid w:val="00D405C4"/>
    <w:rPr>
      <w:vertAlign w:val="superscript"/>
    </w:rPr>
  </w:style>
  <w:style w:type="character" w:styleId="Hyperlink">
    <w:name w:val="Hyperlink"/>
    <w:basedOn w:val="DefaultParagraphFont"/>
    <w:uiPriority w:val="99"/>
    <w:rsid w:val="009A7025"/>
    <w:rPr>
      <w:color w:val="0000FF"/>
      <w:u w:val="single"/>
    </w:rPr>
  </w:style>
  <w:style w:type="paragraph" w:styleId="ListParagraph">
    <w:name w:val="List Paragraph"/>
    <w:basedOn w:val="Normal"/>
    <w:uiPriority w:val="34"/>
    <w:qFormat/>
    <w:rsid w:val="00CD44B3"/>
    <w:pPr>
      <w:ind w:left="720"/>
      <w:contextualSpacing/>
    </w:pPr>
  </w:style>
  <w:style w:type="character" w:customStyle="1" w:styleId="apple-converted-space">
    <w:name w:val="apple-converted-space"/>
    <w:basedOn w:val="DefaultParagraphFont"/>
    <w:rsid w:val="00717157"/>
  </w:style>
  <w:style w:type="paragraph" w:styleId="Header">
    <w:name w:val="header"/>
    <w:basedOn w:val="Normal"/>
    <w:link w:val="HeaderChar"/>
    <w:uiPriority w:val="99"/>
    <w:unhideWhenUsed/>
    <w:rsid w:val="008E39A6"/>
    <w:pPr>
      <w:tabs>
        <w:tab w:val="center" w:pos="4320"/>
        <w:tab w:val="right" w:pos="8640"/>
      </w:tabs>
    </w:pPr>
  </w:style>
  <w:style w:type="character" w:customStyle="1" w:styleId="HeaderChar">
    <w:name w:val="Header Char"/>
    <w:basedOn w:val="DefaultParagraphFont"/>
    <w:link w:val="Header"/>
    <w:uiPriority w:val="99"/>
    <w:rsid w:val="008E39A6"/>
  </w:style>
  <w:style w:type="paragraph" w:styleId="Footer">
    <w:name w:val="footer"/>
    <w:basedOn w:val="Normal"/>
    <w:link w:val="FooterChar"/>
    <w:uiPriority w:val="99"/>
    <w:unhideWhenUsed/>
    <w:rsid w:val="008E39A6"/>
    <w:pPr>
      <w:tabs>
        <w:tab w:val="center" w:pos="4320"/>
        <w:tab w:val="right" w:pos="8640"/>
      </w:tabs>
    </w:pPr>
  </w:style>
  <w:style w:type="character" w:customStyle="1" w:styleId="FooterChar">
    <w:name w:val="Footer Char"/>
    <w:basedOn w:val="DefaultParagraphFont"/>
    <w:link w:val="Footer"/>
    <w:uiPriority w:val="99"/>
    <w:rsid w:val="008E39A6"/>
  </w:style>
  <w:style w:type="character" w:customStyle="1" w:styleId="apple-tab-span">
    <w:name w:val="apple-tab-span"/>
    <w:basedOn w:val="DefaultParagraphFont"/>
    <w:rsid w:val="008E39A6"/>
  </w:style>
  <w:style w:type="character" w:styleId="PageNumber">
    <w:name w:val="page number"/>
    <w:basedOn w:val="DefaultParagraphFont"/>
    <w:uiPriority w:val="99"/>
    <w:semiHidden/>
    <w:unhideWhenUsed/>
    <w:rsid w:val="00A52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1168">
      <w:bodyDiv w:val="1"/>
      <w:marLeft w:val="0"/>
      <w:marRight w:val="0"/>
      <w:marTop w:val="0"/>
      <w:marBottom w:val="0"/>
      <w:divBdr>
        <w:top w:val="none" w:sz="0" w:space="0" w:color="auto"/>
        <w:left w:val="none" w:sz="0" w:space="0" w:color="auto"/>
        <w:bottom w:val="none" w:sz="0" w:space="0" w:color="auto"/>
        <w:right w:val="none" w:sz="0" w:space="0" w:color="auto"/>
      </w:divBdr>
    </w:div>
    <w:div w:id="520243167">
      <w:bodyDiv w:val="1"/>
      <w:marLeft w:val="0"/>
      <w:marRight w:val="0"/>
      <w:marTop w:val="0"/>
      <w:marBottom w:val="0"/>
      <w:divBdr>
        <w:top w:val="none" w:sz="0" w:space="0" w:color="auto"/>
        <w:left w:val="none" w:sz="0" w:space="0" w:color="auto"/>
        <w:bottom w:val="none" w:sz="0" w:space="0" w:color="auto"/>
        <w:right w:val="none" w:sz="0" w:space="0" w:color="auto"/>
      </w:divBdr>
    </w:div>
    <w:div w:id="573468764">
      <w:bodyDiv w:val="1"/>
      <w:marLeft w:val="0"/>
      <w:marRight w:val="0"/>
      <w:marTop w:val="0"/>
      <w:marBottom w:val="0"/>
      <w:divBdr>
        <w:top w:val="none" w:sz="0" w:space="0" w:color="auto"/>
        <w:left w:val="none" w:sz="0" w:space="0" w:color="auto"/>
        <w:bottom w:val="none" w:sz="0" w:space="0" w:color="auto"/>
        <w:right w:val="none" w:sz="0" w:space="0" w:color="auto"/>
      </w:divBdr>
    </w:div>
    <w:div w:id="668558923">
      <w:bodyDiv w:val="1"/>
      <w:marLeft w:val="0"/>
      <w:marRight w:val="0"/>
      <w:marTop w:val="0"/>
      <w:marBottom w:val="0"/>
      <w:divBdr>
        <w:top w:val="none" w:sz="0" w:space="0" w:color="auto"/>
        <w:left w:val="none" w:sz="0" w:space="0" w:color="auto"/>
        <w:bottom w:val="none" w:sz="0" w:space="0" w:color="auto"/>
        <w:right w:val="none" w:sz="0" w:space="0" w:color="auto"/>
      </w:divBdr>
    </w:div>
    <w:div w:id="755515035">
      <w:bodyDiv w:val="1"/>
      <w:marLeft w:val="0"/>
      <w:marRight w:val="0"/>
      <w:marTop w:val="0"/>
      <w:marBottom w:val="0"/>
      <w:divBdr>
        <w:top w:val="none" w:sz="0" w:space="0" w:color="auto"/>
        <w:left w:val="none" w:sz="0" w:space="0" w:color="auto"/>
        <w:bottom w:val="none" w:sz="0" w:space="0" w:color="auto"/>
        <w:right w:val="none" w:sz="0" w:space="0" w:color="auto"/>
      </w:divBdr>
    </w:div>
    <w:div w:id="1061830197">
      <w:bodyDiv w:val="1"/>
      <w:marLeft w:val="0"/>
      <w:marRight w:val="0"/>
      <w:marTop w:val="0"/>
      <w:marBottom w:val="0"/>
      <w:divBdr>
        <w:top w:val="none" w:sz="0" w:space="0" w:color="auto"/>
        <w:left w:val="none" w:sz="0" w:space="0" w:color="auto"/>
        <w:bottom w:val="none" w:sz="0" w:space="0" w:color="auto"/>
        <w:right w:val="none" w:sz="0" w:space="0" w:color="auto"/>
      </w:divBdr>
    </w:div>
    <w:div w:id="1120226906">
      <w:bodyDiv w:val="1"/>
      <w:marLeft w:val="0"/>
      <w:marRight w:val="0"/>
      <w:marTop w:val="0"/>
      <w:marBottom w:val="0"/>
      <w:divBdr>
        <w:top w:val="none" w:sz="0" w:space="0" w:color="auto"/>
        <w:left w:val="none" w:sz="0" w:space="0" w:color="auto"/>
        <w:bottom w:val="none" w:sz="0" w:space="0" w:color="auto"/>
        <w:right w:val="none" w:sz="0" w:space="0" w:color="auto"/>
      </w:divBdr>
    </w:div>
    <w:div w:id="1166046885">
      <w:bodyDiv w:val="1"/>
      <w:marLeft w:val="0"/>
      <w:marRight w:val="0"/>
      <w:marTop w:val="0"/>
      <w:marBottom w:val="0"/>
      <w:divBdr>
        <w:top w:val="none" w:sz="0" w:space="0" w:color="auto"/>
        <w:left w:val="none" w:sz="0" w:space="0" w:color="auto"/>
        <w:bottom w:val="none" w:sz="0" w:space="0" w:color="auto"/>
        <w:right w:val="none" w:sz="0" w:space="0" w:color="auto"/>
      </w:divBdr>
    </w:div>
    <w:div w:id="1273898272">
      <w:bodyDiv w:val="1"/>
      <w:marLeft w:val="0"/>
      <w:marRight w:val="0"/>
      <w:marTop w:val="0"/>
      <w:marBottom w:val="0"/>
      <w:divBdr>
        <w:top w:val="none" w:sz="0" w:space="0" w:color="auto"/>
        <w:left w:val="none" w:sz="0" w:space="0" w:color="auto"/>
        <w:bottom w:val="none" w:sz="0" w:space="0" w:color="auto"/>
        <w:right w:val="none" w:sz="0" w:space="0" w:color="auto"/>
      </w:divBdr>
    </w:div>
    <w:div w:id="1336297565">
      <w:bodyDiv w:val="1"/>
      <w:marLeft w:val="0"/>
      <w:marRight w:val="0"/>
      <w:marTop w:val="0"/>
      <w:marBottom w:val="0"/>
      <w:divBdr>
        <w:top w:val="none" w:sz="0" w:space="0" w:color="auto"/>
        <w:left w:val="none" w:sz="0" w:space="0" w:color="auto"/>
        <w:bottom w:val="none" w:sz="0" w:space="0" w:color="auto"/>
        <w:right w:val="none" w:sz="0" w:space="0" w:color="auto"/>
      </w:divBdr>
    </w:div>
    <w:div w:id="1378041941">
      <w:bodyDiv w:val="1"/>
      <w:marLeft w:val="0"/>
      <w:marRight w:val="0"/>
      <w:marTop w:val="0"/>
      <w:marBottom w:val="0"/>
      <w:divBdr>
        <w:top w:val="none" w:sz="0" w:space="0" w:color="auto"/>
        <w:left w:val="none" w:sz="0" w:space="0" w:color="auto"/>
        <w:bottom w:val="none" w:sz="0" w:space="0" w:color="auto"/>
        <w:right w:val="none" w:sz="0" w:space="0" w:color="auto"/>
      </w:divBdr>
    </w:div>
    <w:div w:id="1462652604">
      <w:bodyDiv w:val="1"/>
      <w:marLeft w:val="0"/>
      <w:marRight w:val="0"/>
      <w:marTop w:val="0"/>
      <w:marBottom w:val="0"/>
      <w:divBdr>
        <w:top w:val="none" w:sz="0" w:space="0" w:color="auto"/>
        <w:left w:val="none" w:sz="0" w:space="0" w:color="auto"/>
        <w:bottom w:val="none" w:sz="0" w:space="0" w:color="auto"/>
        <w:right w:val="none" w:sz="0" w:space="0" w:color="auto"/>
      </w:divBdr>
    </w:div>
    <w:div w:id="1694067197">
      <w:bodyDiv w:val="1"/>
      <w:marLeft w:val="0"/>
      <w:marRight w:val="0"/>
      <w:marTop w:val="0"/>
      <w:marBottom w:val="0"/>
      <w:divBdr>
        <w:top w:val="none" w:sz="0" w:space="0" w:color="auto"/>
        <w:left w:val="none" w:sz="0" w:space="0" w:color="auto"/>
        <w:bottom w:val="none" w:sz="0" w:space="0" w:color="auto"/>
        <w:right w:val="none" w:sz="0" w:space="0" w:color="auto"/>
      </w:divBdr>
    </w:div>
    <w:div w:id="1940794369">
      <w:bodyDiv w:val="1"/>
      <w:marLeft w:val="0"/>
      <w:marRight w:val="0"/>
      <w:marTop w:val="0"/>
      <w:marBottom w:val="0"/>
      <w:divBdr>
        <w:top w:val="none" w:sz="0" w:space="0" w:color="auto"/>
        <w:left w:val="none" w:sz="0" w:space="0" w:color="auto"/>
        <w:bottom w:val="none" w:sz="0" w:space="0" w:color="auto"/>
        <w:right w:val="none" w:sz="0" w:space="0" w:color="auto"/>
      </w:divBdr>
    </w:div>
    <w:div w:id="2075349786">
      <w:bodyDiv w:val="1"/>
      <w:marLeft w:val="0"/>
      <w:marRight w:val="0"/>
      <w:marTop w:val="0"/>
      <w:marBottom w:val="0"/>
      <w:divBdr>
        <w:top w:val="none" w:sz="0" w:space="0" w:color="auto"/>
        <w:left w:val="none" w:sz="0" w:space="0" w:color="auto"/>
        <w:bottom w:val="none" w:sz="0" w:space="0" w:color="auto"/>
        <w:right w:val="none" w:sz="0" w:space="0" w:color="auto"/>
      </w:divBdr>
    </w:div>
    <w:div w:id="2093814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Rebecca Lenihan</cp:lastModifiedBy>
  <cp:revision>2</cp:revision>
  <dcterms:created xsi:type="dcterms:W3CDTF">2014-05-10T07:28:00Z</dcterms:created>
  <dcterms:modified xsi:type="dcterms:W3CDTF">2014-05-10T07:28:00Z</dcterms:modified>
</cp:coreProperties>
</file>